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53E64" w14:textId="7E9B0026" w:rsidR="00202573" w:rsidRDefault="00202573" w:rsidP="00202573">
      <w:pPr>
        <w:ind w:right="-900"/>
        <w:jc w:val="right"/>
      </w:pPr>
      <w:r>
        <w:rPr>
          <w:noProof/>
        </w:rPr>
        <w:drawing>
          <wp:anchor distT="0" distB="0" distL="114300" distR="114300" simplePos="0" relativeHeight="251660288" behindDoc="0" locked="0" layoutInCell="1" allowOverlap="1" wp14:anchorId="1C0B1821" wp14:editId="6F0C7441">
            <wp:simplePos x="0" y="0"/>
            <wp:positionH relativeFrom="column">
              <wp:posOffset>-709295</wp:posOffset>
            </wp:positionH>
            <wp:positionV relativeFrom="paragraph">
              <wp:posOffset>-177800</wp:posOffset>
            </wp:positionV>
            <wp:extent cx="4914900" cy="733034"/>
            <wp:effectExtent l="0" t="0" r="0" b="0"/>
            <wp:wrapNone/>
            <wp:docPr id="4" name="Picture 4" descr="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d text on a black background&#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14900" cy="733034"/>
                    </a:xfrm>
                    <a:prstGeom prst="rect">
                      <a:avLst/>
                    </a:prstGeom>
                  </pic:spPr>
                </pic:pic>
              </a:graphicData>
            </a:graphic>
            <wp14:sizeRelH relativeFrom="page">
              <wp14:pctWidth>0</wp14:pctWidth>
            </wp14:sizeRelH>
            <wp14:sizeRelV relativeFrom="page">
              <wp14:pctHeight>0</wp14:pctHeight>
            </wp14:sizeRelV>
          </wp:anchor>
        </w:drawing>
      </w:r>
      <w:r>
        <w:t xml:space="preserve">Request a quote: </w:t>
      </w:r>
    </w:p>
    <w:p w14:paraId="591BD0C7" w14:textId="3023E9F0" w:rsidR="008D088A" w:rsidRDefault="00202573" w:rsidP="00202573">
      <w:pPr>
        <w:ind w:right="-900"/>
        <w:jc w:val="right"/>
      </w:pPr>
      <w:hyperlink r:id="rId6" w:history="1">
        <w:r w:rsidRPr="00202573">
          <w:rPr>
            <w:rStyle w:val="Hyperlink"/>
          </w:rPr>
          <w:t>info@granitedefense.com</w:t>
        </w:r>
      </w:hyperlink>
    </w:p>
    <w:p w14:paraId="46095FCD" w14:textId="70AD232C" w:rsidR="003167B1" w:rsidRDefault="003167B1" w:rsidP="00202573">
      <w:pPr>
        <w:ind w:right="-900"/>
        <w:jc w:val="right"/>
      </w:pPr>
    </w:p>
    <w:p w14:paraId="3D2B37CF" w14:textId="6CD26D7B" w:rsidR="003167B1" w:rsidRDefault="003167B1" w:rsidP="00202573">
      <w:pPr>
        <w:ind w:right="-900"/>
        <w:jc w:val="right"/>
      </w:pPr>
      <w:r>
        <w:rPr>
          <w:noProof/>
        </w:rPr>
        <mc:AlternateContent>
          <mc:Choice Requires="wps">
            <w:drawing>
              <wp:anchor distT="0" distB="0" distL="114300" distR="114300" simplePos="0" relativeHeight="251659263" behindDoc="1" locked="0" layoutInCell="1" allowOverlap="1" wp14:anchorId="6D9A6D82" wp14:editId="209CAD0E">
                <wp:simplePos x="0" y="0"/>
                <wp:positionH relativeFrom="column">
                  <wp:posOffset>-965200</wp:posOffset>
                </wp:positionH>
                <wp:positionV relativeFrom="paragraph">
                  <wp:posOffset>250190</wp:posOffset>
                </wp:positionV>
                <wp:extent cx="8115300" cy="4699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8115300" cy="469900"/>
                        </a:xfrm>
                        <a:prstGeom prst="rect">
                          <a:avLst/>
                        </a:prstGeom>
                        <a:solidFill>
                          <a:srgbClr val="97040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90AC3" id="Rectangle 5" o:spid="_x0000_s1026" style="position:absolute;margin-left:-76pt;margin-top:19.7pt;width:639pt;height:37pt;z-index:-2516572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" fillcolor="#970405" strokecolor="#1f3763 [1604]" strokeweight="1pt"/>
            </w:pict>
          </mc:Fallback>
        </mc:AlternateContent>
      </w:r>
    </w:p>
    <w:p w14:paraId="5C4EBA83" w14:textId="77777777" w:rsidR="003167B1" w:rsidRDefault="003167B1" w:rsidP="003167B1">
      <w:pPr>
        <w:ind w:right="-900"/>
      </w:pPr>
    </w:p>
    <w:p w14:paraId="4C7686CC" w14:textId="05944E25" w:rsidR="003167B1" w:rsidRDefault="003167B1" w:rsidP="003167B1">
      <w:pPr>
        <w:ind w:right="-900"/>
        <w:jc w:val="center"/>
        <w:rPr>
          <w:color w:val="FFFFFF" w:themeColor="background1"/>
          <w:sz w:val="28"/>
          <w:szCs w:val="28"/>
        </w:rPr>
      </w:pPr>
      <w:hyperlink r:id="rId7" w:history="1">
        <w:r w:rsidRPr="003167B1">
          <w:rPr>
            <w:rStyle w:val="Hyperlink"/>
            <w:color w:val="FFFFFF" w:themeColor="background1"/>
            <w:sz w:val="28"/>
            <w:szCs w:val="28"/>
            <w:u w:val="none"/>
          </w:rPr>
          <w:t>www.granitedefense.com</w:t>
        </w:r>
      </w:hyperlink>
    </w:p>
    <w:p w14:paraId="25868E66" w14:textId="3611B84C" w:rsidR="00251750" w:rsidRDefault="00251750" w:rsidP="003167B1">
      <w:pPr>
        <w:ind w:right="-900"/>
        <w:jc w:val="center"/>
        <w:rPr>
          <w:color w:val="FFFFFF" w:themeColor="background1"/>
          <w:sz w:val="28"/>
          <w:szCs w:val="28"/>
        </w:rPr>
      </w:pPr>
    </w:p>
    <w:p w14:paraId="424423B7" w14:textId="290A0504" w:rsidR="00836E7C" w:rsidRDefault="00836E7C" w:rsidP="00836E7C">
      <w:pPr>
        <w:rPr>
          <w:b/>
          <w:bCs/>
        </w:rPr>
      </w:pPr>
    </w:p>
    <w:p w14:paraId="05FE2F8E" w14:textId="7EC133EC" w:rsidR="0071330F" w:rsidRDefault="0071330F" w:rsidP="0071330F">
      <w:pPr>
        <w:jc w:val="center"/>
        <w:rPr>
          <w:b/>
          <w:bCs/>
        </w:rPr>
      </w:pPr>
      <w:proofErr w:type="spellStart"/>
      <w:r w:rsidRPr="00AE7050">
        <w:rPr>
          <w:b/>
          <w:bCs/>
        </w:rPr>
        <w:t>Vertx</w:t>
      </w:r>
      <w:proofErr w:type="spellEnd"/>
    </w:p>
    <w:p w14:paraId="54F1DA5F" w14:textId="77777777" w:rsidR="0071330F" w:rsidRPr="00AE7050" w:rsidRDefault="0071330F" w:rsidP="0071330F">
      <w:pPr>
        <w:jc w:val="center"/>
        <w:rPr>
          <w:b/>
          <w:bCs/>
        </w:rPr>
      </w:pPr>
    </w:p>
    <w:p w14:paraId="03731602" w14:textId="77777777" w:rsidR="0071330F" w:rsidRDefault="0071330F" w:rsidP="0071330F">
      <w:r w:rsidRPr="00AE7050">
        <w:rPr>
          <w:b/>
          <w:bCs/>
        </w:rPr>
        <w:t>Warranty</w:t>
      </w:r>
      <w:r>
        <w:t xml:space="preserve">: </w:t>
      </w:r>
      <w:proofErr w:type="spellStart"/>
      <w:r>
        <w:t>Vertx</w:t>
      </w:r>
      <w:proofErr w:type="spellEnd"/>
      <w:r>
        <w:t xml:space="preserve"> branded products covered by this warranty are warranted to the original owner against manufacturing defects in materials and workmanship for the 2 years on bags and packs and 1 year on apparel. This warranty applies to all </w:t>
      </w:r>
      <w:proofErr w:type="spellStart"/>
      <w:r>
        <w:t>Vertx</w:t>
      </w:r>
      <w:proofErr w:type="spellEnd"/>
      <w:r>
        <w:t xml:space="preserve"> branded products except product marked as not covered by warranty on the product’s packaging, hangtag and/or label, and product purchased from an unauthorized dealer or seller.</w:t>
      </w:r>
    </w:p>
    <w:p w14:paraId="711FFFC6" w14:textId="77777777" w:rsidR="0071330F" w:rsidRDefault="0071330F" w:rsidP="0071330F">
      <w:r>
        <w:t>If your product covered by this warranty fails due to a manufacturing defect, we will repair it without charge, or replace it, at our discretion. Only original, unaltered and unmodified items and workmanship are covered. This warranty does not cover damage caused by accident, improper care, negligence, normal wear and tear, or the natural breakdown of colors and materials over extended time and use.</w:t>
      </w:r>
    </w:p>
    <w:p w14:paraId="73A43FD8" w14:textId="77777777" w:rsidR="0071330F" w:rsidRDefault="0071330F" w:rsidP="0071330F">
      <w:r>
        <w:t>The products eligible for the limited warranty are covered to the original owner, for the period specified above.</w:t>
      </w:r>
    </w:p>
    <w:p w14:paraId="7F32377A" w14:textId="77777777" w:rsidR="0071330F" w:rsidRDefault="0071330F" w:rsidP="0071330F">
      <w:r>
        <w:t xml:space="preserve">For additional information, please visit: </w:t>
      </w:r>
      <w:hyperlink r:id="rId8" w:history="1">
        <w:r w:rsidRPr="00BF2285">
          <w:rPr>
            <w:rStyle w:val="Hyperlink"/>
          </w:rPr>
          <w:t>https://vertx.com/shipping-and-returns</w:t>
        </w:r>
      </w:hyperlink>
      <w:r>
        <w:t xml:space="preserve"> </w:t>
      </w:r>
    </w:p>
    <w:p w14:paraId="448746D2" w14:textId="77777777" w:rsidR="0071330F" w:rsidRDefault="0071330F" w:rsidP="0071330F">
      <w:pPr>
        <w:rPr>
          <w:b/>
          <w:bCs/>
        </w:rPr>
      </w:pPr>
    </w:p>
    <w:p w14:paraId="14B4B7BD" w14:textId="77777777" w:rsidR="0071330F" w:rsidRDefault="0071330F" w:rsidP="0071330F">
      <w:r w:rsidRPr="00AE7050">
        <w:rPr>
          <w:b/>
          <w:bCs/>
        </w:rPr>
        <w:t>Returns</w:t>
      </w:r>
      <w:r>
        <w:t>: All sales made by Granite Defense &amp; Technologies are final. Unopened products may be eligible for return. Eligibility and any potential restocking fees are subject to GDT’s discretion.</w:t>
      </w:r>
    </w:p>
    <w:p w14:paraId="73F99224" w14:textId="77777777" w:rsidR="0071330F" w:rsidRDefault="0071330F" w:rsidP="0071330F"/>
    <w:p w14:paraId="48687008" w14:textId="77777777" w:rsidR="0071330F" w:rsidRDefault="0071330F" w:rsidP="0071330F">
      <w:pPr>
        <w:jc w:val="center"/>
        <w:rPr>
          <w:b/>
          <w:bCs/>
        </w:rPr>
      </w:pPr>
    </w:p>
    <w:p w14:paraId="699EAD9C" w14:textId="77777777" w:rsidR="0071330F" w:rsidRDefault="0071330F" w:rsidP="0071330F">
      <w:pPr>
        <w:jc w:val="center"/>
        <w:rPr>
          <w:b/>
          <w:bCs/>
        </w:rPr>
      </w:pPr>
    </w:p>
    <w:p w14:paraId="07771730" w14:textId="77777777" w:rsidR="0071330F" w:rsidRDefault="0071330F" w:rsidP="0071330F">
      <w:pPr>
        <w:jc w:val="center"/>
        <w:rPr>
          <w:b/>
          <w:bCs/>
        </w:rPr>
      </w:pPr>
    </w:p>
    <w:p w14:paraId="42F7F27F" w14:textId="77777777" w:rsidR="00251750" w:rsidRPr="003167B1" w:rsidRDefault="00251750" w:rsidP="003167B1">
      <w:pPr>
        <w:ind w:right="-900"/>
        <w:jc w:val="center"/>
        <w:rPr>
          <w:color w:val="FFFFFF" w:themeColor="background1"/>
          <w:sz w:val="28"/>
          <w:szCs w:val="28"/>
        </w:rPr>
      </w:pPr>
    </w:p>
    <w:sectPr w:rsidR="00251750" w:rsidRPr="003167B1" w:rsidSect="00202573">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26653"/>
    <w:multiLevelType w:val="hybridMultilevel"/>
    <w:tmpl w:val="95B82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C57FCC"/>
    <w:multiLevelType w:val="hybridMultilevel"/>
    <w:tmpl w:val="FF980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4E4868"/>
    <w:multiLevelType w:val="hybridMultilevel"/>
    <w:tmpl w:val="1D72E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D83CC5"/>
    <w:multiLevelType w:val="hybridMultilevel"/>
    <w:tmpl w:val="0110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2E66DF"/>
    <w:multiLevelType w:val="hybridMultilevel"/>
    <w:tmpl w:val="ADF64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C03435"/>
    <w:multiLevelType w:val="hybridMultilevel"/>
    <w:tmpl w:val="48322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91EB6"/>
    <w:multiLevelType w:val="hybridMultilevel"/>
    <w:tmpl w:val="B9DE1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73"/>
    <w:rsid w:val="00160215"/>
    <w:rsid w:val="00202573"/>
    <w:rsid w:val="00251750"/>
    <w:rsid w:val="002C08B5"/>
    <w:rsid w:val="003167B1"/>
    <w:rsid w:val="004F1B27"/>
    <w:rsid w:val="0071330F"/>
    <w:rsid w:val="00763AD5"/>
    <w:rsid w:val="00836E7C"/>
    <w:rsid w:val="00856925"/>
    <w:rsid w:val="008D088A"/>
    <w:rsid w:val="00931616"/>
    <w:rsid w:val="00AA7311"/>
    <w:rsid w:val="00BB3785"/>
    <w:rsid w:val="00CA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EE00"/>
  <w15:chartTrackingRefBased/>
  <w15:docId w15:val="{31B0646F-5C56-2F45-8F9D-0767DB9A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573"/>
    <w:rPr>
      <w:color w:val="0563C1" w:themeColor="hyperlink"/>
      <w:u w:val="single"/>
    </w:rPr>
  </w:style>
  <w:style w:type="character" w:styleId="UnresolvedMention">
    <w:name w:val="Unresolved Mention"/>
    <w:basedOn w:val="DefaultParagraphFont"/>
    <w:uiPriority w:val="99"/>
    <w:semiHidden/>
    <w:unhideWhenUsed/>
    <w:rsid w:val="00202573"/>
    <w:rPr>
      <w:color w:val="605E5C"/>
      <w:shd w:val="clear" w:color="auto" w:fill="E1DFDD"/>
    </w:rPr>
  </w:style>
  <w:style w:type="paragraph" w:styleId="ListParagraph">
    <w:name w:val="List Paragraph"/>
    <w:basedOn w:val="Normal"/>
    <w:uiPriority w:val="34"/>
    <w:qFormat/>
    <w:rsid w:val="00251750"/>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836E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tx.com/shipping-and-returns" TargetMode="External"/><Relationship Id="rId3" Type="http://schemas.openxmlformats.org/officeDocument/2006/relationships/settings" Target="settings.xml"/><Relationship Id="rId7" Type="http://schemas.openxmlformats.org/officeDocument/2006/relationships/hyperlink" Target="http://www.granitedefen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anitedefens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Culver</dc:creator>
  <cp:keywords/>
  <dc:description/>
  <cp:lastModifiedBy>Preston Culver</cp:lastModifiedBy>
  <cp:revision>2</cp:revision>
  <dcterms:created xsi:type="dcterms:W3CDTF">2021-06-01T15:06:00Z</dcterms:created>
  <dcterms:modified xsi:type="dcterms:W3CDTF">2021-06-01T15:06:00Z</dcterms:modified>
</cp:coreProperties>
</file>